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9" w:rsidRPr="005476CC" w:rsidRDefault="00CD40E9" w:rsidP="00CD40E9">
      <w:pPr>
        <w:spacing w:line="209" w:lineRule="auto"/>
        <w:ind w:firstLine="567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5476CC">
        <w:rPr>
          <w:rFonts w:ascii="Bookman Old Style" w:hAnsi="Bookman Old Style" w:cs="Arial"/>
          <w:b/>
          <w:color w:val="000000"/>
        </w:rPr>
        <w:t>ПЕРЕЧЕНЬ</w:t>
      </w:r>
    </w:p>
    <w:p w:rsidR="00CD40E9" w:rsidRPr="005476CC" w:rsidRDefault="00CD40E9" w:rsidP="00CD40E9">
      <w:pPr>
        <w:spacing w:line="209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6CC">
        <w:rPr>
          <w:rFonts w:ascii="Arial" w:hAnsi="Arial" w:cs="Arial"/>
          <w:b/>
          <w:color w:val="000000"/>
          <w:sz w:val="22"/>
          <w:szCs w:val="22"/>
        </w:rPr>
        <w:t xml:space="preserve">веществ и предметов, </w:t>
      </w:r>
      <w:r>
        <w:rPr>
          <w:rFonts w:ascii="Arial" w:hAnsi="Arial" w:cs="Arial"/>
          <w:b/>
          <w:color w:val="000000"/>
          <w:sz w:val="22"/>
          <w:szCs w:val="22"/>
        </w:rPr>
        <w:t>запрещенных</w:t>
      </w:r>
    </w:p>
    <w:p w:rsidR="00CD40E9" w:rsidRPr="005476CC" w:rsidRDefault="00CD40E9" w:rsidP="00CD40E9">
      <w:pPr>
        <w:spacing w:after="240" w:line="209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6CC">
        <w:rPr>
          <w:rFonts w:ascii="Arial" w:hAnsi="Arial" w:cs="Arial"/>
          <w:b/>
          <w:color w:val="000000"/>
          <w:sz w:val="22"/>
          <w:szCs w:val="22"/>
        </w:rPr>
        <w:t>к авиационной перевозке</w:t>
      </w:r>
    </w:p>
    <w:p w:rsidR="00CD40E9" w:rsidRPr="00047CA0" w:rsidRDefault="00CD40E9" w:rsidP="00CD40E9">
      <w:pPr>
        <w:spacing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D76CD">
        <w:rPr>
          <w:rFonts w:ascii="Bookman Old Style" w:hAnsi="Bookman Old Style" w:cs="Arial"/>
          <w:b/>
          <w:iCs/>
          <w:color w:val="000000"/>
          <w:sz w:val="22"/>
          <w:szCs w:val="22"/>
        </w:rPr>
        <w:t>I.</w:t>
      </w:r>
      <w:r w:rsidRPr="000D76CD">
        <w:rPr>
          <w:rFonts w:ascii="Bookman Old Style" w:hAnsi="Bookman Old Style" w:cs="Arial"/>
          <w:iCs/>
          <w:color w:val="000000"/>
          <w:sz w:val="22"/>
          <w:szCs w:val="22"/>
        </w:rPr>
        <w:t xml:space="preserve"> </w:t>
      </w:r>
      <w:r w:rsidRPr="000D76CD">
        <w:rPr>
          <w:rFonts w:ascii="Bookman Old Style" w:hAnsi="Bookman Old Style" w:cs="Arial"/>
          <w:b/>
          <w:color w:val="000000"/>
          <w:sz w:val="22"/>
          <w:szCs w:val="22"/>
        </w:rPr>
        <w:t>ЗАПРЕЩЕНО ПЕРЕВОЗИТЬ</w:t>
      </w:r>
      <w:r w:rsidRPr="00047CA0">
        <w:rPr>
          <w:rFonts w:ascii="Arial" w:hAnsi="Arial" w:cs="Arial"/>
          <w:color w:val="000000"/>
          <w:sz w:val="20"/>
          <w:szCs w:val="20"/>
        </w:rPr>
        <w:t xml:space="preserve"> (либо разрешено с соблюдением специальных условий) на борту воздушного судна пассажирами в зарегистрированном багаже и в вещах, находящихся при пассажирах, следующие опасные вещества и предметы:</w:t>
      </w:r>
    </w:p>
    <w:p w:rsidR="00CD40E9" w:rsidRPr="00047CA0" w:rsidRDefault="00CD40E9" w:rsidP="00CD40E9">
      <w:pPr>
        <w:spacing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1) взрывчатые вещества, средства взрывания и предметы, ими начиненные: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7CA0">
        <w:rPr>
          <w:rFonts w:ascii="Arial" w:hAnsi="Arial" w:cs="Arial"/>
          <w:color w:val="000000"/>
          <w:sz w:val="20"/>
          <w:szCs w:val="20"/>
        </w:rPr>
        <w:t>пороха всякие, в любой упаковке и в любом количестве; патроны боевые (в том числе малокалиберные); патроны к газовому оружию; капсюли (пистоны) охотничьи; 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 тротил, динамит, тол, аммонал и другие взрывчатые вещества; капсюли-детонаторы, электродетонаторы, электровоспламенители, детонирующий и огнепроводный шнур и т.д.</w:t>
      </w:r>
      <w:proofErr w:type="gramEnd"/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2) сжатые и сжиженные газы: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 xml:space="preserve">газы для бытового пользования (бутан-пропан) и другие газы; газовые баллончики с наполнением </w:t>
      </w:r>
      <w:proofErr w:type="gramStart"/>
      <w:r w:rsidRPr="00047CA0">
        <w:rPr>
          <w:rFonts w:ascii="Arial" w:hAnsi="Arial" w:cs="Arial"/>
          <w:color w:val="000000"/>
          <w:sz w:val="20"/>
          <w:szCs w:val="20"/>
        </w:rPr>
        <w:t>нервно-паралитического</w:t>
      </w:r>
      <w:proofErr w:type="gramEnd"/>
      <w:r w:rsidRPr="00047CA0">
        <w:rPr>
          <w:rFonts w:ascii="Arial" w:hAnsi="Arial" w:cs="Arial"/>
          <w:color w:val="000000"/>
          <w:sz w:val="20"/>
          <w:szCs w:val="20"/>
        </w:rPr>
        <w:t xml:space="preserve"> и слезоточивого воздействия и т.д.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3) легковоспламеняющиеся жидкости: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ацетон; бензин; пробы легковоспламеняющихся нефтепродуктов; метанол; метилацетат (метиловый эфир); сероуглерод; эфиры; этилцеллозола.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4) воспламеняющиеся твердые вещества: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вещества, подверженные самопроизвольному возгоранию; вещества, выделяющие легковоспламеняющиеся газы при взаимодействии с водой: калий, натрий, кальций металлический и их сплавы, кальций фосфористый и т</w:t>
      </w:r>
      <w:proofErr w:type="gramStart"/>
      <w:r w:rsidRPr="00047CA0">
        <w:rPr>
          <w:rFonts w:ascii="Arial" w:hAnsi="Arial" w:cs="Arial"/>
          <w:color w:val="000000"/>
          <w:sz w:val="20"/>
          <w:szCs w:val="20"/>
        </w:rPr>
        <w:t>.д</w:t>
      </w:r>
      <w:proofErr w:type="gramEnd"/>
      <w:r w:rsidRPr="00047CA0">
        <w:rPr>
          <w:rFonts w:ascii="Arial" w:hAnsi="Arial" w:cs="Arial"/>
          <w:color w:val="000000"/>
          <w:sz w:val="20"/>
          <w:szCs w:val="20"/>
        </w:rPr>
        <w:t>; фосфор белый, желтый и красный и все другие вещества, относящиеся к категории воспламеняющихся твердых веществ.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5) окисляющие вещества и органические перекиси: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нитроцеллюлоза коллоидная, в гранулах или хлопьях, сухая или влажная, содержащая менее 25 % воды или растворителя; нитроцеллюлоза коллоидная, в кусках, влажная, содержащая менее 25 % спирта; нитроцеллюлоза сухая или влажная, содержащая менее 30 % растворителя или 20 % воды и т.д.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6) токсичные вещества;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7) радиоактивные материалы;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8) едкие и коррозирующие вещества: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 xml:space="preserve">сильные неорганические кислоты: соляная, серная, азотная и другие; фтористо-водородная (плавиковая) кислота и другие сильные </w:t>
      </w:r>
      <w:proofErr w:type="gramStart"/>
      <w:r w:rsidRPr="00047CA0">
        <w:rPr>
          <w:rFonts w:ascii="Arial" w:hAnsi="Arial" w:cs="Arial"/>
          <w:color w:val="000000"/>
          <w:sz w:val="20"/>
          <w:szCs w:val="20"/>
        </w:rPr>
        <w:t>кислоты</w:t>
      </w:r>
      <w:proofErr w:type="gramEnd"/>
      <w:r w:rsidRPr="00047CA0">
        <w:rPr>
          <w:rFonts w:ascii="Arial" w:hAnsi="Arial" w:cs="Arial"/>
          <w:color w:val="000000"/>
          <w:sz w:val="20"/>
          <w:szCs w:val="20"/>
        </w:rPr>
        <w:t xml:space="preserve"> и коррозирующие вещества.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9) ядовитые и отравляющие вещества: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любые ядовитые сильнодействующие и отравляющие вещества в жидком или твердом состоянии, упакованные в любую тару; бруцин; никотин; стрихнин; тетрагидрофурфуриловый спирт; антифриз; тормозная жидкость; этиленгликоль; ртуть; все соли синильной кислоты и цианистые препараты; циклон, цианплав, мышьяковистый ангидрид и т.д.; другие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судна.</w:t>
      </w:r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>10) оружие:</w:t>
      </w:r>
    </w:p>
    <w:p w:rsidR="00CD40E9" w:rsidRPr="00047CA0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7CA0">
        <w:rPr>
          <w:rFonts w:ascii="Arial" w:hAnsi="Arial" w:cs="Arial"/>
          <w:color w:val="000000"/>
          <w:sz w:val="20"/>
          <w:szCs w:val="20"/>
        </w:rPr>
        <w:t>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штык-ножи, за исключением случаев и в порядке, установленном законодательством Российской Федерации.</w:t>
      </w:r>
      <w:proofErr w:type="gramEnd"/>
    </w:p>
    <w:p w:rsidR="00CD40E9" w:rsidRPr="00047CA0" w:rsidRDefault="00CD40E9" w:rsidP="00CD40E9">
      <w:pPr>
        <w:spacing w:before="120" w:after="120"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D76CD">
        <w:rPr>
          <w:rFonts w:ascii="Bookman Old Style" w:hAnsi="Bookman Old Style" w:cs="Arial"/>
          <w:b/>
          <w:iCs/>
          <w:color w:val="000000"/>
          <w:sz w:val="22"/>
          <w:szCs w:val="22"/>
        </w:rPr>
        <w:t xml:space="preserve">II. </w:t>
      </w:r>
      <w:r w:rsidRPr="000D76CD">
        <w:rPr>
          <w:rFonts w:ascii="Bookman Old Style" w:hAnsi="Bookman Old Style" w:cs="Arial"/>
          <w:b/>
          <w:color w:val="000000"/>
          <w:sz w:val="22"/>
          <w:szCs w:val="22"/>
        </w:rPr>
        <w:t xml:space="preserve">ЗАПРЕЩЕНО ПЕРЕВОЗИТЬ В </w:t>
      </w:r>
      <w:proofErr w:type="gramStart"/>
      <w:r w:rsidRPr="000D76CD">
        <w:rPr>
          <w:rFonts w:ascii="Bookman Old Style" w:hAnsi="Bookman Old Style" w:cs="Arial"/>
          <w:b/>
          <w:color w:val="000000"/>
          <w:sz w:val="22"/>
          <w:szCs w:val="22"/>
        </w:rPr>
        <w:t>САЛОНЕ</w:t>
      </w:r>
      <w:proofErr w:type="gramEnd"/>
      <w:r w:rsidRPr="00047C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47CA0">
        <w:rPr>
          <w:rFonts w:ascii="Arial" w:hAnsi="Arial" w:cs="Arial"/>
          <w:color w:val="000000"/>
          <w:sz w:val="20"/>
          <w:szCs w:val="20"/>
        </w:rPr>
        <w:t xml:space="preserve">воздушного судна </w:t>
      </w:r>
      <w:r>
        <w:rPr>
          <w:rFonts w:ascii="Arial" w:hAnsi="Arial" w:cs="Arial"/>
          <w:color w:val="000000"/>
          <w:sz w:val="20"/>
          <w:szCs w:val="20"/>
        </w:rPr>
        <w:t xml:space="preserve">на международных рейсах </w:t>
      </w:r>
      <w:r w:rsidRPr="00047CA0">
        <w:rPr>
          <w:rFonts w:ascii="Arial" w:hAnsi="Arial" w:cs="Arial"/>
          <w:color w:val="000000"/>
          <w:sz w:val="20"/>
          <w:szCs w:val="20"/>
        </w:rPr>
        <w:t>следующих предметов:</w:t>
      </w:r>
    </w:p>
    <w:p w:rsidR="00CD40E9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47CA0">
        <w:rPr>
          <w:rFonts w:ascii="Arial" w:hAnsi="Arial" w:cs="Arial"/>
          <w:color w:val="000000"/>
          <w:sz w:val="20"/>
          <w:szCs w:val="20"/>
        </w:rPr>
        <w:t xml:space="preserve">штопоры; иглы для подкожных инъекций (если не будет представлено медицинское обоснование); вязальные спицы; ножницы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047CA0">
          <w:rPr>
            <w:rFonts w:ascii="Arial" w:hAnsi="Arial" w:cs="Arial"/>
            <w:color w:val="000000"/>
            <w:sz w:val="20"/>
            <w:szCs w:val="20"/>
          </w:rPr>
          <w:t>60 мм</w:t>
        </w:r>
      </w:smartTag>
      <w:r w:rsidRPr="00047CA0">
        <w:rPr>
          <w:rFonts w:ascii="Arial" w:hAnsi="Arial" w:cs="Arial"/>
          <w:color w:val="000000"/>
          <w:sz w:val="20"/>
          <w:szCs w:val="20"/>
        </w:rPr>
        <w:t xml:space="preserve">; складные (без фиксатора) дорожные, перочинные ножи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047CA0">
          <w:rPr>
            <w:rFonts w:ascii="Arial" w:hAnsi="Arial" w:cs="Arial"/>
            <w:color w:val="000000"/>
            <w:sz w:val="20"/>
            <w:szCs w:val="20"/>
          </w:rPr>
          <w:t>60 мм</w:t>
        </w:r>
      </w:smartTag>
      <w:r>
        <w:rPr>
          <w:rFonts w:ascii="Arial" w:hAnsi="Arial" w:cs="Arial"/>
          <w:color w:val="000000"/>
          <w:sz w:val="20"/>
          <w:szCs w:val="20"/>
        </w:rPr>
        <w:t>.</w:t>
      </w:r>
    </w:p>
    <w:p w:rsidR="00CD40E9" w:rsidRPr="00CF7422" w:rsidRDefault="00CD40E9" w:rsidP="00CD40E9">
      <w:pPr>
        <w:spacing w:line="21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F7422">
        <w:rPr>
          <w:rFonts w:ascii="Arial" w:hAnsi="Arial" w:cs="Arial"/>
          <w:color w:val="000000"/>
          <w:sz w:val="20"/>
          <w:szCs w:val="20"/>
        </w:rPr>
        <w:t>Жидкости в контейнерах емкостью более 100 мл к перевозке не принимаются даже в том случае, если емкость заполнена лишь частично.</w:t>
      </w:r>
    </w:p>
    <w:p w:rsidR="00CD40E9" w:rsidRPr="00047CA0" w:rsidRDefault="00CD40E9" w:rsidP="00CD40E9">
      <w:pPr>
        <w:spacing w:before="240" w:after="120" w:line="216" w:lineRule="auto"/>
        <w:ind w:left="2279"/>
        <w:jc w:val="right"/>
        <w:rPr>
          <w:rFonts w:ascii="Arial" w:hAnsi="Arial" w:cs="Arial"/>
          <w:sz w:val="18"/>
          <w:szCs w:val="18"/>
        </w:rPr>
      </w:pPr>
      <w:r w:rsidRPr="00047CA0">
        <w:rPr>
          <w:rFonts w:ascii="Arial" w:hAnsi="Arial" w:cs="Arial"/>
          <w:iCs/>
          <w:color w:val="000000"/>
          <w:sz w:val="18"/>
          <w:szCs w:val="18"/>
        </w:rPr>
        <w:t xml:space="preserve">Памятка подготовлена в соответствии с Приказом </w:t>
      </w:r>
      <w:r w:rsidRPr="00047CA0">
        <w:rPr>
          <w:rFonts w:ascii="Arial" w:hAnsi="Arial" w:cs="Arial"/>
          <w:color w:val="000000"/>
          <w:sz w:val="18"/>
          <w:szCs w:val="18"/>
        </w:rPr>
        <w:t>Минтранса Российской Федерации</w:t>
      </w:r>
      <w:r w:rsidRPr="00047CA0">
        <w:rPr>
          <w:rFonts w:ascii="Arial" w:hAnsi="Arial" w:cs="Arial"/>
          <w:iCs/>
          <w:color w:val="000000"/>
          <w:sz w:val="18"/>
          <w:szCs w:val="18"/>
        </w:rPr>
        <w:t xml:space="preserve"> от </w:t>
      </w:r>
      <w:r w:rsidRPr="00047CA0">
        <w:rPr>
          <w:rFonts w:ascii="Arial" w:hAnsi="Arial" w:cs="Arial"/>
          <w:color w:val="000000"/>
          <w:sz w:val="18"/>
          <w:szCs w:val="18"/>
        </w:rPr>
        <w:t>25.07.2007</w:t>
      </w:r>
      <w:r>
        <w:rPr>
          <w:rFonts w:ascii="Arial" w:hAnsi="Arial" w:cs="Arial"/>
          <w:color w:val="000000"/>
          <w:sz w:val="18"/>
          <w:szCs w:val="18"/>
        </w:rPr>
        <w:t xml:space="preserve"> года</w:t>
      </w:r>
      <w:r w:rsidRPr="00047CA0">
        <w:rPr>
          <w:rFonts w:ascii="Arial" w:hAnsi="Arial" w:cs="Arial"/>
          <w:color w:val="000000"/>
          <w:sz w:val="18"/>
          <w:szCs w:val="18"/>
        </w:rPr>
        <w:t xml:space="preserve"> №104 </w:t>
      </w:r>
      <w:r w:rsidRPr="00047CA0">
        <w:rPr>
          <w:rFonts w:ascii="Arial" w:hAnsi="Arial" w:cs="Arial"/>
          <w:iCs/>
          <w:color w:val="000000"/>
          <w:sz w:val="18"/>
          <w:szCs w:val="18"/>
        </w:rPr>
        <w:t>«Об утверждении Правил проведения предполетного и послеполетного досмотров»</w:t>
      </w:r>
    </w:p>
    <w:p w:rsidR="00333CD9" w:rsidRDefault="00333CD9"/>
    <w:sectPr w:rsidR="00333CD9" w:rsidSect="00CD40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40E9"/>
    <w:rsid w:val="00333CD9"/>
    <w:rsid w:val="00C0498A"/>
    <w:rsid w:val="00CD40E9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E9"/>
    <w:pPr>
      <w:suppressAutoHyphens/>
      <w:ind w:left="0" w:firstLine="0"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2013-04-10T10:08:00Z</dcterms:created>
  <dcterms:modified xsi:type="dcterms:W3CDTF">2013-04-10T10:08:00Z</dcterms:modified>
</cp:coreProperties>
</file>